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CE7" w:rsidRDefault="001E0CE7" w:rsidP="001E0CE7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ПРИЛОЖЕНИЕ</w:t>
      </w:r>
    </w:p>
    <w:p w:rsidR="001E0CE7" w:rsidRDefault="001E0CE7" w:rsidP="001E0CE7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постановлению администрации</w:t>
      </w:r>
    </w:p>
    <w:p w:rsidR="001E0CE7" w:rsidRDefault="001E0CE7" w:rsidP="001E0CE7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района Новосибирской </w:t>
      </w:r>
    </w:p>
    <w:p w:rsidR="001E0CE7" w:rsidRDefault="001E0CE7" w:rsidP="001E0CE7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области</w:t>
      </w:r>
      <w:proofErr w:type="gramEnd"/>
    </w:p>
    <w:p w:rsidR="001E0CE7" w:rsidRDefault="001E0CE7" w:rsidP="001E0CE7">
      <w:pPr>
        <w:shd w:val="clear" w:color="auto" w:fill="FFFFFF"/>
        <w:tabs>
          <w:tab w:val="left" w:pos="7797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DD2277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26.10.2021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№ </w:t>
      </w:r>
      <w:r w:rsidR="00DD2277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>134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ОСНОВНЫЕ НАПРАВЛЕНИЯ</w:t>
      </w:r>
    </w:p>
    <w:p w:rsidR="001E0CE7" w:rsidRDefault="001E0CE7" w:rsidP="001E0C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долговой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политики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на 2022 год и плановый период 2023 -2024 годов</w:t>
      </w:r>
    </w:p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Долговая политика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разработана в единстве с налоговой и бюджетной политикой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в целях обеспечения сбалансированности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 с учетом рекомендаций Министерства финансов и налоговой политики Новосибирской области по проведению муниципальными образованиями Новосибирской области ответственной долговой политики.</w:t>
      </w:r>
    </w:p>
    <w:p w:rsidR="001E0CE7" w:rsidRDefault="001E0CE7" w:rsidP="001E0CE7">
      <w:pPr>
        <w:shd w:val="clear" w:color="auto" w:fill="FFFFFF"/>
        <w:spacing w:after="0" w:line="315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Итоги реализации долговой политики предыдущего периода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Привлечение заемных средств в местный бюджет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(далее – местный бюджет) осуществляется для погашения долговых обязательств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и покрытия кассового разрыва местного бюджета в целях обеспечения его сбалансированности. Объем и структура муниципального долга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(млн. руб.) 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980"/>
        <w:gridCol w:w="1559"/>
        <w:gridCol w:w="1985"/>
        <w:gridCol w:w="1842"/>
        <w:gridCol w:w="1985"/>
      </w:tblGrid>
      <w:tr w:rsidR="001E0CE7" w:rsidTr="001E0CE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E7" w:rsidRDefault="001E0CE7">
            <w:pPr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E0CE7" w:rsidTr="001E0CE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E7" w:rsidRDefault="001E0CE7">
            <w:pPr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Кредиты от кредитных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0CE7" w:rsidRDefault="001E0CE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6,0</w:t>
            </w:r>
          </w:p>
        </w:tc>
      </w:tr>
    </w:tbl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CE7" w:rsidRDefault="001E0CE7" w:rsidP="001E0CE7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0" w:firstLine="709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 xml:space="preserve">Состояние муниципального долга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 и реализация долговой политики в 2021 году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Сдержанная долговая политика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области, направленная на стабилизацию объема муниципального долга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(далее- муниципальный долг), способствует постепенному решению задачи по снижению уровня долговой нагрузки. В 2020 году муниципальный долг погашен в сумме 40,0 млн. 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рублей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в том числе погашение кредитов от кредитных организаций 40,0 млн. рублей, за 9 месяцев 2021 года погашено 52,0 млн. рублей. На 01 января 2020 года муниципальный долг составлял 40,0 млн. рублей, на 01 января 2021 объем муниципального долга увеличился на 30 % и составил 52,0 млн. рублей, на 01 октября 2021 года размер муниципального долга составляет 6,0 млн. рублей, что составляет 2,9 %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 общему объему доходов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без учета безвозмездных поступлений. В целях минимизации расходов на обслуживание муниципального долга в январе 2021 года в полном объеме были погашены обязательства по кредитам коммерческих банков за счет источников финансирования дефицита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в виде переходящих остатков. 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Основные факторы, определяющие характер и направления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br/>
        <w:t xml:space="preserve">долговой политики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на 2022-2024 годы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Основными факторами, определяющими характер и направления долговой политики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на          2022-2024 годы, являются: влияние рисков нестабильной экономической ситуации, сохранения неустойчивости мировой экономики на возможность осуществления рыночных заимствований в необходимых объемах по стоимости, не превышающей ограничения, установленные условиями Соглашений, сохранение действий финансовых и экономических санкций в отношении российской экономики, а также ответных мер;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изменчивость финансовой конъюнктуры, обусловленная неустойчивым экономическим ростом и внешнеполитическими факторами.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Приоритеты долговой политики, сложившиеся в 2019-2021 годах, будут сохранены.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Долговая политика заключается в реализации комплекса мер, направленных на обеспечение потребностей публично-правового образования в заемном финансировании, своевременное и полное исполнение обязательств по погашению и обслуживанию муниципального долга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минимизацию расходов на обслуживание муниципального долга, поддержание объема и структуры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долговых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обязательств, исключающих их неисполнение.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целях обеспечения стабильного исполнения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области, повышения кредитного рейтинга, характеризующего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 Новосибирской области как надежного заемщика, своевременно выполняющего долговые обязательства,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 Новосибирской области в 2022 году и плановом периодах 2024-2024 годах будет проводить взвешенную долговую политику, направленную на оптимизацию (минимизацию) объема муниципального долга.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 xml:space="preserve">Цели и задачи долговой политики на 2022-2024 годы, инструменты ее реализации. Анализ рисков для бюджета, возникающих в процессе управления муниципальным долгом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 Целями долговой политики на среднесрочный период являются: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 xml:space="preserve">4.1.1. Сохранение объема муниципального долга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на безопасном уровне;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4.1.2. Равномерное распределение долговой нагрузки по годам;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4.1.3. Обеспечение сохранения дефицита местного бюджета на уровне не более 10 % от суммы доходов бюджета без учета безвозмездных поступлений в соответствии со статьей 92.1 Бюджетного кодекса Российской Федерации;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4.1.4. Минимизация стоимости обслуживания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4.1.5. Безусловное выполнение долговых обязательств;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4.1.6. Соблюдение ограничений, установленных Бюджетным кодексом Российской Федерации.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 Для достижения поставленных целей необходимо решить следующие задачи: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4.2.1. Поддержание муниципального долга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в объеме, обеспечивающем возможность гарантированного выполнения всех обязательств, и неукоснительное соблюдение требований, установленных бюджетным законодательством;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4.2.2. Распределение долговой нагрузки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 Новосибирской области с целью обеспечения ежемесячной сбалансированности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4.2.3. Обеспечение взаимосвязи принятия решения о заимствованиях с реальными потребностями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в привлечении заемных средств;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4.2.4. Обеспечение своевременного и полного учета долговых обязательств;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4.2.5. Использование механизмов оперативного управления долговыми обязательствами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4.2.6. Сокращение объема заимствований с учетом результатов исполнения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4.2.7. Соблюдение ограничений, установленных Бюджетным кодексом Российской Федерации;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4.2.8. Обеспечение открытости (прозрачности) информации о муниципальном долге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4.2.9. Ограничение роста расходов местного бюджета, не обеспеченных стабильными доходными источниками;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4.2.10. Оптимизация структуры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4.2.11. Минимизация расходов на обслуживание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4.2.12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последовательное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снижение долговой нагрузки на бюджет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4.3. В целях определения оптимального набора инструментов заимствований, а также благоприятных для привлечения заемных ресурсов необходим анализ рисков и определение предполагаемой стоимости заимствований.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Важная роль отводится ответственному планированию долговых обязательств, а также расходов, связанных с их привлечением и обслуживанием. Планирование источников финансирования дефицита бюджета будет осуществляться в соответствии с методикой прогнозирования поступлений по источникам финансирования дефицита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области, утвержденной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от 04.08.2016 N 97 «Об утверждении Методики прогнозирования поступлений по источникам финансирования дефицита бюджета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области».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Привлечение в бюджет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района Новосибирской области кредитов от кредитных организаций будет осуществляться в соответствии с условиями заключенных Соглашений.</w:t>
      </w:r>
    </w:p>
    <w:p w:rsidR="001E0CE7" w:rsidRDefault="001E0CE7" w:rsidP="001E0CE7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долговой политики направлена на обеспечение выполнения принятых долговых обязательств в среднесрочные и долгосрочные перспективы при наименьших затратах и разумной степени риска.</w:t>
      </w:r>
    </w:p>
    <w:p w:rsidR="00717305" w:rsidRDefault="00717305"/>
    <w:sectPr w:rsidR="00717305" w:rsidSect="001E0CE7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EF7" w:rsidRDefault="004A5EF7" w:rsidP="001E0CE7">
      <w:pPr>
        <w:spacing w:after="0" w:line="240" w:lineRule="auto"/>
      </w:pPr>
      <w:r>
        <w:separator/>
      </w:r>
    </w:p>
  </w:endnote>
  <w:endnote w:type="continuationSeparator" w:id="0">
    <w:p w:rsidR="004A5EF7" w:rsidRDefault="004A5EF7" w:rsidP="001E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EF7" w:rsidRDefault="004A5EF7" w:rsidP="001E0CE7">
      <w:pPr>
        <w:spacing w:after="0" w:line="240" w:lineRule="auto"/>
      </w:pPr>
      <w:r>
        <w:separator/>
      </w:r>
    </w:p>
  </w:footnote>
  <w:footnote w:type="continuationSeparator" w:id="0">
    <w:p w:rsidR="004A5EF7" w:rsidRDefault="004A5EF7" w:rsidP="001E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3159642"/>
      <w:docPartObj>
        <w:docPartGallery w:val="Page Numbers (Top of Page)"/>
        <w:docPartUnique/>
      </w:docPartObj>
    </w:sdtPr>
    <w:sdtEndPr/>
    <w:sdtContent>
      <w:p w:rsidR="000C6D2D" w:rsidRDefault="000C6D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277">
          <w:rPr>
            <w:noProof/>
          </w:rPr>
          <w:t>2</w:t>
        </w:r>
        <w:r>
          <w:fldChar w:fldCharType="end"/>
        </w:r>
      </w:p>
    </w:sdtContent>
  </w:sdt>
  <w:p w:rsidR="001E0CE7" w:rsidRDefault="001E0C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55CB7"/>
    <w:multiLevelType w:val="hybridMultilevel"/>
    <w:tmpl w:val="9DC03B58"/>
    <w:lvl w:ilvl="0" w:tplc="DA28CB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7"/>
    <w:rsid w:val="000C6D2D"/>
    <w:rsid w:val="001E0CE7"/>
    <w:rsid w:val="004A5EF7"/>
    <w:rsid w:val="005E477C"/>
    <w:rsid w:val="00717305"/>
    <w:rsid w:val="00B77CF1"/>
    <w:rsid w:val="00C1492C"/>
    <w:rsid w:val="00D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6EEC8-E9F5-4580-AA8D-53F6E65B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C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CE7"/>
    <w:pPr>
      <w:ind w:left="720"/>
      <w:contextualSpacing/>
    </w:pPr>
  </w:style>
  <w:style w:type="table" w:styleId="a4">
    <w:name w:val="Table Grid"/>
    <w:basedOn w:val="a1"/>
    <w:uiPriority w:val="39"/>
    <w:rsid w:val="001E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E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0CE7"/>
  </w:style>
  <w:style w:type="paragraph" w:styleId="a7">
    <w:name w:val="footer"/>
    <w:basedOn w:val="a"/>
    <w:link w:val="a8"/>
    <w:uiPriority w:val="99"/>
    <w:unhideWhenUsed/>
    <w:rsid w:val="001E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0CE7"/>
  </w:style>
  <w:style w:type="paragraph" w:styleId="a9">
    <w:name w:val="Balloon Text"/>
    <w:basedOn w:val="a"/>
    <w:link w:val="aa"/>
    <w:uiPriority w:val="99"/>
    <w:semiHidden/>
    <w:unhideWhenUsed/>
    <w:rsid w:val="001E0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semenovskaya_vu</dc:creator>
  <cp:keywords/>
  <dc:description/>
  <cp:lastModifiedBy>User</cp:lastModifiedBy>
  <cp:revision>4</cp:revision>
  <cp:lastPrinted>2021-10-13T08:04:00Z</cp:lastPrinted>
  <dcterms:created xsi:type="dcterms:W3CDTF">2021-10-15T08:45:00Z</dcterms:created>
  <dcterms:modified xsi:type="dcterms:W3CDTF">2021-10-26T02:21:00Z</dcterms:modified>
</cp:coreProperties>
</file>